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5624" w:rsidRPr="00876102" w:rsidRDefault="00035624" w:rsidP="001F53A4">
      <w:pPr>
        <w:tabs>
          <w:tab w:val="left" w:pos="9356"/>
        </w:tabs>
        <w:jc w:val="center"/>
        <w:rPr>
          <w:rFonts w:ascii="Calibri" w:eastAsia="Calibri" w:hAnsi="Calibri" w:cs="Calibri"/>
          <w:b/>
          <w:color w:val="E36C0A" w:themeColor="accent6" w:themeShade="BF"/>
          <w:position w:val="1"/>
          <w:sz w:val="20"/>
          <w:szCs w:val="20"/>
        </w:rPr>
      </w:pPr>
      <w:r w:rsidRPr="00876102">
        <w:rPr>
          <w:rFonts w:ascii="Arial" w:eastAsia="Calibri" w:hAnsi="Arial" w:cs="Arial"/>
          <w:spacing w:val="1"/>
          <w:sz w:val="20"/>
          <w:szCs w:val="20"/>
        </w:rPr>
        <w:t>P</w:t>
      </w:r>
      <w:r w:rsidRPr="00876102">
        <w:rPr>
          <w:rFonts w:ascii="Arial" w:eastAsia="Calibri" w:hAnsi="Arial" w:cs="Arial"/>
          <w:sz w:val="20"/>
          <w:szCs w:val="20"/>
        </w:rPr>
        <w:t>l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e</w:t>
      </w:r>
      <w:r w:rsidRPr="00876102">
        <w:rPr>
          <w:rFonts w:ascii="Arial" w:eastAsia="Calibri" w:hAnsi="Arial" w:cs="Arial"/>
          <w:sz w:val="20"/>
          <w:szCs w:val="20"/>
        </w:rPr>
        <w:t>a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s</w:t>
      </w:r>
      <w:r w:rsidRPr="00876102">
        <w:rPr>
          <w:rFonts w:ascii="Arial" w:eastAsia="Calibri" w:hAnsi="Arial" w:cs="Arial"/>
          <w:sz w:val="20"/>
          <w:szCs w:val="20"/>
        </w:rPr>
        <w:t>e</w:t>
      </w:r>
      <w:r w:rsidRPr="00876102">
        <w:rPr>
          <w:rFonts w:ascii="Arial" w:hAnsi="Arial" w:cs="Arial"/>
          <w:spacing w:val="-4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e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-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m</w:t>
      </w:r>
      <w:r w:rsidRPr="00876102">
        <w:rPr>
          <w:rFonts w:ascii="Arial" w:eastAsia="Calibri" w:hAnsi="Arial" w:cs="Arial"/>
          <w:sz w:val="20"/>
          <w:szCs w:val="20"/>
        </w:rPr>
        <w:t>ail,</w:t>
      </w:r>
      <w:r w:rsidRPr="00876102">
        <w:rPr>
          <w:rFonts w:ascii="Arial" w:hAnsi="Arial" w:cs="Arial"/>
          <w:spacing w:val="-4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z w:val="20"/>
          <w:szCs w:val="20"/>
        </w:rPr>
        <w:t>f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a</w:t>
      </w:r>
      <w:r w:rsidRPr="00876102">
        <w:rPr>
          <w:rFonts w:ascii="Arial" w:eastAsia="Calibri" w:hAnsi="Arial" w:cs="Arial"/>
          <w:sz w:val="20"/>
          <w:szCs w:val="20"/>
        </w:rPr>
        <w:t>x</w:t>
      </w:r>
      <w:r w:rsidRPr="00876102">
        <w:rPr>
          <w:rFonts w:ascii="Arial" w:hAnsi="Arial" w:cs="Arial"/>
          <w:spacing w:val="-7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z w:val="20"/>
          <w:szCs w:val="20"/>
        </w:rPr>
        <w:t>r</w:t>
      </w:r>
      <w:r w:rsidRPr="00876102">
        <w:rPr>
          <w:rFonts w:ascii="Arial" w:hAnsi="Arial" w:cs="Arial"/>
          <w:spacing w:val="-5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p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z w:val="20"/>
          <w:szCs w:val="20"/>
        </w:rPr>
        <w:t>st</w:t>
      </w:r>
      <w:r w:rsidRPr="00876102">
        <w:rPr>
          <w:rFonts w:ascii="Arial" w:hAnsi="Arial" w:cs="Arial"/>
          <w:spacing w:val="-7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t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h</w:t>
      </w:r>
      <w:r w:rsidRPr="00876102">
        <w:rPr>
          <w:rFonts w:ascii="Arial" w:eastAsia="Calibri" w:hAnsi="Arial" w:cs="Arial"/>
          <w:sz w:val="20"/>
          <w:szCs w:val="20"/>
        </w:rPr>
        <w:t>is</w:t>
      </w:r>
      <w:r w:rsidRPr="00876102">
        <w:rPr>
          <w:rFonts w:ascii="Arial" w:hAnsi="Arial" w:cs="Arial"/>
          <w:spacing w:val="-5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z w:val="20"/>
          <w:szCs w:val="20"/>
        </w:rPr>
        <w:t>f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r</w:t>
      </w:r>
      <w:r w:rsidRPr="00876102">
        <w:rPr>
          <w:rFonts w:ascii="Arial" w:eastAsia="Calibri" w:hAnsi="Arial" w:cs="Arial"/>
          <w:sz w:val="20"/>
          <w:szCs w:val="20"/>
        </w:rPr>
        <w:t>m</w:t>
      </w:r>
      <w:r w:rsidRPr="00876102">
        <w:rPr>
          <w:rFonts w:ascii="Arial" w:hAnsi="Arial" w:cs="Arial"/>
          <w:spacing w:val="-3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b</w:t>
      </w:r>
      <w:r w:rsidRPr="00876102">
        <w:rPr>
          <w:rFonts w:ascii="Arial" w:eastAsia="Calibri" w:hAnsi="Arial" w:cs="Arial"/>
          <w:sz w:val="20"/>
          <w:szCs w:val="20"/>
        </w:rPr>
        <w:t>ack</w:t>
      </w:r>
      <w:r w:rsidRPr="00876102">
        <w:rPr>
          <w:rFonts w:ascii="Arial" w:hAnsi="Arial" w:cs="Arial"/>
          <w:spacing w:val="-6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t</w:t>
      </w:r>
      <w:r w:rsidRPr="00876102">
        <w:rPr>
          <w:rFonts w:ascii="Arial" w:eastAsia="Calibri" w:hAnsi="Arial" w:cs="Arial"/>
          <w:sz w:val="20"/>
          <w:szCs w:val="20"/>
        </w:rPr>
        <w:t>o</w:t>
      </w:r>
      <w:r w:rsidRPr="00876102">
        <w:rPr>
          <w:rFonts w:ascii="Arial" w:hAnsi="Arial" w:cs="Arial"/>
          <w:spacing w:val="-6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u</w:t>
      </w:r>
      <w:r w:rsidRPr="00876102">
        <w:rPr>
          <w:rFonts w:ascii="Arial" w:eastAsia="Calibri" w:hAnsi="Arial" w:cs="Arial"/>
          <w:sz w:val="20"/>
          <w:szCs w:val="20"/>
        </w:rPr>
        <w:t>r</w:t>
      </w:r>
      <w:r w:rsidRPr="00876102">
        <w:rPr>
          <w:rFonts w:ascii="Arial" w:hAnsi="Arial" w:cs="Arial"/>
          <w:spacing w:val="-5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z w:val="20"/>
          <w:szCs w:val="20"/>
        </w:rPr>
        <w:t>ff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i</w:t>
      </w:r>
      <w:r w:rsidRPr="00876102">
        <w:rPr>
          <w:rFonts w:ascii="Arial" w:eastAsia="Calibri" w:hAnsi="Arial" w:cs="Arial"/>
          <w:sz w:val="20"/>
          <w:szCs w:val="20"/>
        </w:rPr>
        <w:t>ce</w:t>
      </w:r>
      <w:r w:rsidRPr="00876102">
        <w:rPr>
          <w:rFonts w:ascii="Arial" w:hAnsi="Arial" w:cs="Arial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z w:val="20"/>
          <w:szCs w:val="20"/>
          <w:u w:color="000000"/>
        </w:rPr>
        <w:t>prior</w:t>
      </w:r>
      <w:r w:rsidRPr="00876102">
        <w:rPr>
          <w:rFonts w:ascii="Arial" w:hAnsi="Arial" w:cs="Arial"/>
          <w:b/>
          <w:spacing w:val="-4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t</w:t>
      </w:r>
      <w:r w:rsidRPr="00876102">
        <w:rPr>
          <w:rFonts w:ascii="Arial" w:eastAsia="Calibri" w:hAnsi="Arial" w:cs="Arial"/>
          <w:sz w:val="20"/>
          <w:szCs w:val="20"/>
        </w:rPr>
        <w:t>o</w:t>
      </w:r>
      <w:r w:rsidRPr="00876102">
        <w:rPr>
          <w:rFonts w:ascii="Arial" w:hAnsi="Arial" w:cs="Arial"/>
          <w:spacing w:val="-6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yo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u</w:t>
      </w:r>
      <w:r w:rsidRPr="00876102">
        <w:rPr>
          <w:rFonts w:ascii="Arial" w:eastAsia="Calibri" w:hAnsi="Arial" w:cs="Arial"/>
          <w:sz w:val="20"/>
          <w:szCs w:val="20"/>
        </w:rPr>
        <w:t>r</w:t>
      </w:r>
      <w:r w:rsidRPr="00876102">
        <w:rPr>
          <w:rFonts w:ascii="Arial" w:hAnsi="Arial" w:cs="Arial"/>
          <w:spacing w:val="-5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z w:val="20"/>
          <w:szCs w:val="20"/>
        </w:rPr>
        <w:t>a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p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p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o</w:t>
      </w:r>
      <w:r w:rsidRPr="00876102">
        <w:rPr>
          <w:rFonts w:ascii="Arial" w:eastAsia="Calibri" w:hAnsi="Arial" w:cs="Arial"/>
          <w:sz w:val="20"/>
          <w:szCs w:val="20"/>
        </w:rPr>
        <w:t>i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n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t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me</w:t>
      </w:r>
      <w:r w:rsidRPr="00876102">
        <w:rPr>
          <w:rFonts w:ascii="Arial" w:eastAsia="Calibri" w:hAnsi="Arial" w:cs="Arial"/>
          <w:spacing w:val="-3"/>
          <w:sz w:val="20"/>
          <w:szCs w:val="20"/>
        </w:rPr>
        <w:t>n</w:t>
      </w:r>
      <w:r w:rsidRPr="00876102">
        <w:rPr>
          <w:rFonts w:ascii="Arial" w:eastAsia="Calibri" w:hAnsi="Arial" w:cs="Arial"/>
          <w:sz w:val="20"/>
          <w:szCs w:val="20"/>
        </w:rPr>
        <w:t>t:</w:t>
      </w:r>
    </w:p>
    <w:p w:rsidR="00035624" w:rsidRPr="00876102" w:rsidRDefault="00035624" w:rsidP="001F53A4">
      <w:pPr>
        <w:jc w:val="center"/>
        <w:rPr>
          <w:rStyle w:val="Hyperlink"/>
          <w:rFonts w:ascii="Arial" w:eastAsia="Calibri" w:hAnsi="Arial" w:cs="Arial"/>
          <w:sz w:val="20"/>
          <w:szCs w:val="20"/>
        </w:rPr>
      </w:pPr>
      <w:r w:rsidRPr="00876102">
        <w:rPr>
          <w:rFonts w:ascii="Arial" w:eastAsia="Calibri" w:hAnsi="Arial" w:cs="Arial"/>
          <w:b/>
          <w:spacing w:val="1"/>
          <w:sz w:val="20"/>
          <w:szCs w:val="20"/>
        </w:rPr>
        <w:t>T</w:t>
      </w:r>
      <w:r w:rsidRPr="00876102">
        <w:rPr>
          <w:rFonts w:ascii="Arial" w:eastAsia="Calibri" w:hAnsi="Arial" w:cs="Arial"/>
          <w:b/>
          <w:sz w:val="20"/>
          <w:szCs w:val="20"/>
        </w:rPr>
        <w:t xml:space="preserve">O:  </w:t>
      </w:r>
      <w:r w:rsidRPr="00876102">
        <w:rPr>
          <w:rFonts w:ascii="Arial" w:eastAsia="Calibri" w:hAnsi="Arial" w:cs="Arial"/>
          <w:sz w:val="20"/>
          <w:szCs w:val="20"/>
        </w:rPr>
        <w:t xml:space="preserve">Success Accounting Group </w:t>
      </w:r>
      <w:r w:rsidRPr="00876102">
        <w:rPr>
          <w:rFonts w:ascii="Arial" w:eastAsia="Calibri" w:hAnsi="Arial" w:cs="Arial"/>
          <w:b/>
          <w:sz w:val="20"/>
          <w:szCs w:val="20"/>
        </w:rPr>
        <w:t xml:space="preserve">E-MAIL: </w:t>
      </w:r>
      <w:hyperlink r:id="rId6" w:history="1">
        <w:r w:rsidR="00A10684">
          <w:rPr>
            <w:rStyle w:val="Hyperlink"/>
            <w:rFonts w:ascii="Arial" w:eastAsia="Calibri" w:hAnsi="Arial" w:cs="Arial"/>
            <w:sz w:val="20"/>
            <w:szCs w:val="20"/>
          </w:rPr>
          <w:t>grow</w:t>
        </w:r>
        <w:r w:rsidRPr="00876102">
          <w:rPr>
            <w:rStyle w:val="Hyperlink"/>
            <w:rFonts w:ascii="Arial" w:eastAsia="Calibri" w:hAnsi="Arial" w:cs="Arial"/>
            <w:sz w:val="20"/>
            <w:szCs w:val="20"/>
          </w:rPr>
          <w:t>@successaccountinggroup.com.au</w:t>
        </w:r>
      </w:hyperlink>
    </w:p>
    <w:p w:rsidR="001F53A4" w:rsidRPr="00876102" w:rsidRDefault="001F53A4" w:rsidP="002A28A8">
      <w:pPr>
        <w:jc w:val="center"/>
        <w:rPr>
          <w:rStyle w:val="Hyperlink"/>
          <w:rFonts w:ascii="Arial" w:eastAsia="Calibri" w:hAnsi="Arial" w:cs="Arial"/>
          <w:color w:val="auto"/>
          <w:sz w:val="20"/>
          <w:szCs w:val="20"/>
          <w:u w:val="none"/>
        </w:rPr>
      </w:pPr>
      <w:r w:rsidRPr="00876102">
        <w:rPr>
          <w:rFonts w:ascii="Arial" w:eastAsia="Calibri" w:hAnsi="Arial" w:cs="Arial"/>
          <w:b/>
          <w:sz w:val="20"/>
          <w:szCs w:val="20"/>
        </w:rPr>
        <w:t xml:space="preserve">PHONE:  Springvale </w:t>
      </w:r>
      <w:r w:rsidRPr="00876102">
        <w:rPr>
          <w:rFonts w:ascii="Arial" w:eastAsia="Calibri" w:hAnsi="Arial" w:cs="Arial"/>
          <w:sz w:val="20"/>
          <w:szCs w:val="20"/>
        </w:rPr>
        <w:t>(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>0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3</w:t>
      </w:r>
      <w:r w:rsidRPr="00876102">
        <w:rPr>
          <w:rFonts w:ascii="Arial" w:eastAsia="Calibri" w:hAnsi="Arial" w:cs="Arial"/>
          <w:sz w:val="20"/>
          <w:szCs w:val="20"/>
        </w:rPr>
        <w:t>)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1"/>
          <w:sz w:val="20"/>
          <w:szCs w:val="20"/>
        </w:rPr>
        <w:t>8511</w:t>
      </w:r>
      <w:r w:rsidRPr="00876102">
        <w:rPr>
          <w:rFonts w:ascii="Arial" w:eastAsia="Calibri" w:hAnsi="Arial" w:cs="Arial"/>
          <w:spacing w:val="-1"/>
          <w:sz w:val="20"/>
          <w:szCs w:val="20"/>
        </w:rPr>
        <w:t xml:space="preserve"> 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>4047 /</w:t>
      </w:r>
      <w:r w:rsidRPr="00876102">
        <w:rPr>
          <w:rFonts w:ascii="Arial" w:eastAsia="Calibri" w:hAnsi="Arial" w:cs="Arial"/>
          <w:b/>
          <w:spacing w:val="-2"/>
          <w:sz w:val="20"/>
          <w:szCs w:val="20"/>
        </w:rPr>
        <w:t xml:space="preserve"> Mentone</w:t>
      </w:r>
      <w:r w:rsidRPr="00876102">
        <w:rPr>
          <w:rFonts w:ascii="Arial" w:eastAsia="Calibri" w:hAnsi="Arial" w:cs="Arial"/>
          <w:spacing w:val="-2"/>
          <w:sz w:val="20"/>
          <w:szCs w:val="20"/>
        </w:rPr>
        <w:t xml:space="preserve"> (03) 9583 0550 </w:t>
      </w:r>
      <w:r w:rsidRPr="00876102">
        <w:rPr>
          <w:rFonts w:ascii="Arial" w:eastAsia="Calibri" w:hAnsi="Arial" w:cs="Arial"/>
          <w:b/>
          <w:spacing w:val="-2"/>
          <w:sz w:val="20"/>
          <w:szCs w:val="20"/>
        </w:rPr>
        <w:t>FAX</w:t>
      </w:r>
      <w:r w:rsidRPr="00876102">
        <w:rPr>
          <w:rFonts w:ascii="Arial" w:eastAsia="Calibri" w:hAnsi="Arial" w:cs="Arial"/>
          <w:b/>
          <w:sz w:val="20"/>
          <w:szCs w:val="20"/>
        </w:rPr>
        <w:t xml:space="preserve">: </w:t>
      </w:r>
      <w:r w:rsidRPr="00876102">
        <w:rPr>
          <w:rFonts w:ascii="Arial" w:eastAsia="Calibri" w:hAnsi="Arial" w:cs="Arial"/>
          <w:spacing w:val="6"/>
          <w:sz w:val="20"/>
          <w:szCs w:val="20"/>
        </w:rPr>
        <w:t>(03) 8511 4047</w:t>
      </w:r>
    </w:p>
    <w:tbl>
      <w:tblPr>
        <w:tblStyle w:val="TableGrid"/>
        <w:tblpPr w:leftFromText="180" w:rightFromText="180" w:vertAnchor="text" w:horzAnchor="margin" w:tblpY="543"/>
        <w:tblW w:w="0" w:type="auto"/>
        <w:tblLook w:val="04A0" w:firstRow="1" w:lastRow="0" w:firstColumn="1" w:lastColumn="0" w:noHBand="0" w:noVBand="1"/>
      </w:tblPr>
      <w:tblGrid>
        <w:gridCol w:w="5284"/>
        <w:gridCol w:w="1724"/>
        <w:gridCol w:w="4887"/>
      </w:tblGrid>
      <w:tr w:rsidR="001F53A4" w:rsidTr="00876102">
        <w:trPr>
          <w:trHeight w:val="253"/>
        </w:trPr>
        <w:tc>
          <w:tcPr>
            <w:tcW w:w="5284" w:type="dxa"/>
          </w:tcPr>
          <w:p w:rsidR="001F53A4" w:rsidRPr="00AB5572" w:rsidRDefault="001F53A4" w:rsidP="00876102">
            <w:pPr>
              <w:rPr>
                <w:b/>
              </w:rPr>
            </w:pPr>
            <w:r w:rsidRPr="00AB5572">
              <w:rPr>
                <w:b/>
              </w:rPr>
              <w:t>Set-Up Costs</w:t>
            </w:r>
          </w:p>
        </w:tc>
        <w:tc>
          <w:tcPr>
            <w:tcW w:w="1724" w:type="dxa"/>
          </w:tcPr>
          <w:p w:rsidR="001F53A4" w:rsidRPr="00AB5572" w:rsidRDefault="001F53A4" w:rsidP="00876102">
            <w:pPr>
              <w:rPr>
                <w:b/>
              </w:rPr>
            </w:pPr>
          </w:p>
        </w:tc>
        <w:tc>
          <w:tcPr>
            <w:tcW w:w="4887" w:type="dxa"/>
          </w:tcPr>
          <w:p w:rsidR="001F53A4" w:rsidRPr="00AB5572" w:rsidRDefault="001F53A4" w:rsidP="00876102">
            <w:pPr>
              <w:rPr>
                <w:b/>
              </w:rPr>
            </w:pPr>
            <w:r w:rsidRPr="00AB5572">
              <w:rPr>
                <w:b/>
              </w:rPr>
              <w:t>Description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Legal &amp; Professional Costs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bookmarkStart w:id="0" w:name="_GoBack"/>
            <w:bookmarkEnd w:id="0"/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Domain name registration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Insurance premiums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Licenses or permits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Check with City or State offices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Workers compensation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Costs Associate with Premises Set Up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Lease deposit and advance rent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This can be 3 months’ rent or more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Fitout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Fixtures, counters, partitions &amp; installation costs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Utility bonds and connection/disconnection fees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Stationery and office supplies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Office stationery, folders, papers, pens, etc.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Cleaning, staff amenities etc.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Office cleaning, kitchen supplies, etc.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Marketing &amp; Promotion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Logo design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99 design or similar costs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Signage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Use contractor bid amounts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Printing costs for promotional materials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Brochures, posters, flyers, etc.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Stationery (branded)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Business cards, letter heads, with compliments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Advertising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Yellow pages, listing, radio, print, etc.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Giveaways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Branded hats, pens, etc.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Entertainment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Launch part for clientele</w:t>
            </w:r>
          </w:p>
        </w:tc>
      </w:tr>
      <w:tr w:rsidR="001F53A4" w:rsidRPr="00AB5572" w:rsidTr="00876102">
        <w:trPr>
          <w:trHeight w:val="253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Furniture &amp; Equipment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Equipment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Including photocopiers, printers, etc.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Vehicles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Trucks, utes, etc.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Telecommunications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Mobiles, laptops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Computer server &amp; networking costs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Contractor fees for computer installations, setups, etc.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39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Starting Operations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Raw materials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Starting Inventory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 xml:space="preserve">Amount of inventory required to open </w:t>
            </w:r>
          </w:p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Cash on hand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Amount needed for the cash register</w:t>
            </w: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Working capital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Unanticipated expenses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>
            <w:r>
              <w:t>Include an amount for the unexpected</w:t>
            </w:r>
          </w:p>
        </w:tc>
      </w:tr>
      <w:tr w:rsidR="001F53A4" w:rsidRPr="00AB5572" w:rsidTr="00876102">
        <w:trPr>
          <w:trHeight w:val="239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Start-up Capital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Equity Investment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39"/>
        </w:trPr>
        <w:tc>
          <w:tcPr>
            <w:tcW w:w="5284" w:type="dxa"/>
          </w:tcPr>
          <w:p w:rsidR="001F53A4" w:rsidRDefault="001F53A4" w:rsidP="00876102">
            <w:r>
              <w:t>Borrowings</w:t>
            </w:r>
          </w:p>
        </w:tc>
        <w:tc>
          <w:tcPr>
            <w:tcW w:w="1724" w:type="dxa"/>
          </w:tcPr>
          <w:p w:rsidR="001F53A4" w:rsidRDefault="001F53A4" w:rsidP="00876102"/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Total</w:t>
            </w:r>
          </w:p>
        </w:tc>
        <w:tc>
          <w:tcPr>
            <w:tcW w:w="1724" w:type="dxa"/>
          </w:tcPr>
          <w:p w:rsidR="001F53A4" w:rsidRDefault="001F53A4" w:rsidP="00876102">
            <w:pPr>
              <w:jc w:val="right"/>
            </w:pPr>
            <w:r>
              <w:t>$0</w:t>
            </w:r>
          </w:p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39"/>
        </w:trPr>
        <w:tc>
          <w:tcPr>
            <w:tcW w:w="5284" w:type="dxa"/>
            <w:tcBorders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  <w:r w:rsidRPr="00AB5572">
              <w:rPr>
                <w:color w:val="FFFFFF" w:themeColor="background1"/>
              </w:rPr>
              <w:t>The Result</w:t>
            </w:r>
          </w:p>
        </w:tc>
        <w:tc>
          <w:tcPr>
            <w:tcW w:w="1724" w:type="dxa"/>
            <w:tcBorders>
              <w:left w:val="nil"/>
              <w:righ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  <w:tc>
          <w:tcPr>
            <w:tcW w:w="4887" w:type="dxa"/>
            <w:tcBorders>
              <w:left w:val="nil"/>
            </w:tcBorders>
            <w:shd w:val="clear" w:color="auto" w:fill="F79646" w:themeFill="accent6"/>
          </w:tcPr>
          <w:p w:rsidR="001F53A4" w:rsidRPr="00AB5572" w:rsidRDefault="001F53A4" w:rsidP="00876102">
            <w:pPr>
              <w:rPr>
                <w:color w:val="FFFFFF" w:themeColor="background1"/>
              </w:rPr>
            </w:pPr>
          </w:p>
        </w:tc>
      </w:tr>
      <w:tr w:rsidR="001F53A4" w:rsidTr="00876102">
        <w:trPr>
          <w:trHeight w:val="268"/>
        </w:trPr>
        <w:tc>
          <w:tcPr>
            <w:tcW w:w="5284" w:type="dxa"/>
          </w:tcPr>
          <w:p w:rsidR="001F53A4" w:rsidRDefault="001F53A4" w:rsidP="00876102">
            <w:r>
              <w:t>Total set-up costs</w:t>
            </w:r>
          </w:p>
        </w:tc>
        <w:tc>
          <w:tcPr>
            <w:tcW w:w="1724" w:type="dxa"/>
          </w:tcPr>
          <w:p w:rsidR="001F53A4" w:rsidRDefault="001F53A4" w:rsidP="00876102">
            <w:pPr>
              <w:jc w:val="right"/>
            </w:pPr>
            <w:r>
              <w:t>$0</w:t>
            </w:r>
          </w:p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253"/>
        </w:trPr>
        <w:tc>
          <w:tcPr>
            <w:tcW w:w="5284" w:type="dxa"/>
          </w:tcPr>
          <w:p w:rsidR="001F53A4" w:rsidRDefault="001F53A4" w:rsidP="00876102">
            <w:r>
              <w:t>Surplus funds</w:t>
            </w:r>
          </w:p>
        </w:tc>
        <w:tc>
          <w:tcPr>
            <w:tcW w:w="1724" w:type="dxa"/>
          </w:tcPr>
          <w:p w:rsidR="001F53A4" w:rsidRDefault="001F53A4" w:rsidP="00876102">
            <w:pPr>
              <w:jc w:val="right"/>
            </w:pPr>
            <w:r>
              <w:t>0</w:t>
            </w:r>
          </w:p>
        </w:tc>
        <w:tc>
          <w:tcPr>
            <w:tcW w:w="4887" w:type="dxa"/>
          </w:tcPr>
          <w:p w:rsidR="001F53A4" w:rsidRDefault="001F53A4" w:rsidP="00876102"/>
        </w:tc>
      </w:tr>
      <w:tr w:rsidR="001F53A4" w:rsidTr="00876102">
        <w:trPr>
          <w:trHeight w:val="70"/>
        </w:trPr>
        <w:tc>
          <w:tcPr>
            <w:tcW w:w="5284" w:type="dxa"/>
          </w:tcPr>
          <w:p w:rsidR="001F53A4" w:rsidRDefault="001F53A4" w:rsidP="00876102">
            <w:r>
              <w:t>Borrowing required</w:t>
            </w:r>
          </w:p>
        </w:tc>
        <w:tc>
          <w:tcPr>
            <w:tcW w:w="1724" w:type="dxa"/>
          </w:tcPr>
          <w:p w:rsidR="001F53A4" w:rsidRDefault="001F53A4" w:rsidP="00876102">
            <w:pPr>
              <w:jc w:val="right"/>
            </w:pPr>
            <w:r>
              <w:t>0</w:t>
            </w:r>
          </w:p>
        </w:tc>
        <w:tc>
          <w:tcPr>
            <w:tcW w:w="4887" w:type="dxa"/>
          </w:tcPr>
          <w:p w:rsidR="001F53A4" w:rsidRDefault="001F53A4" w:rsidP="00876102"/>
        </w:tc>
      </w:tr>
    </w:tbl>
    <w:p w:rsidR="000820F1" w:rsidRPr="00AB5572" w:rsidRDefault="004358EF" w:rsidP="00AB5572"/>
    <w:sectPr w:rsidR="000820F1" w:rsidRPr="00AB5572" w:rsidSect="00876102">
      <w:headerReference w:type="default" r:id="rId7"/>
      <w:pgSz w:w="12240" w:h="15840"/>
      <w:pgMar w:top="1440" w:right="191" w:bottom="1135" w:left="284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358EF" w:rsidRDefault="004358EF" w:rsidP="001F53A4">
      <w:pPr>
        <w:spacing w:after="0" w:line="240" w:lineRule="auto"/>
      </w:pPr>
      <w:r>
        <w:separator/>
      </w:r>
    </w:p>
  </w:endnote>
  <w:endnote w:type="continuationSeparator" w:id="0">
    <w:p w:rsidR="004358EF" w:rsidRDefault="004358EF" w:rsidP="001F53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358EF" w:rsidRDefault="004358EF" w:rsidP="001F53A4">
      <w:pPr>
        <w:spacing w:after="0" w:line="240" w:lineRule="auto"/>
      </w:pPr>
      <w:r>
        <w:separator/>
      </w:r>
    </w:p>
  </w:footnote>
  <w:footnote w:type="continuationSeparator" w:id="0">
    <w:p w:rsidR="004358EF" w:rsidRDefault="004358EF" w:rsidP="001F53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76102" w:rsidRPr="00876102" w:rsidRDefault="00876102" w:rsidP="00876102">
    <w:pPr>
      <w:pStyle w:val="Header"/>
      <w:jc w:val="right"/>
      <w:rPr>
        <w:b/>
        <w:sz w:val="52"/>
        <w:szCs w:val="52"/>
      </w:rPr>
    </w:pPr>
    <w:r w:rsidRPr="00876102">
      <w:rPr>
        <w:b/>
        <w:noProof/>
        <w:sz w:val="52"/>
        <w:szCs w:val="52"/>
        <w:lang w:val="en-AU" w:eastAsia="en-AU"/>
      </w:rPr>
      <w:drawing>
        <wp:anchor distT="0" distB="0" distL="114300" distR="114300" simplePos="0" relativeHeight="251656192" behindDoc="1" locked="0" layoutInCell="1" allowOverlap="1">
          <wp:simplePos x="0" y="0"/>
          <wp:positionH relativeFrom="column">
            <wp:posOffset>-179705</wp:posOffset>
          </wp:positionH>
          <wp:positionV relativeFrom="paragraph">
            <wp:posOffset>98303</wp:posOffset>
          </wp:positionV>
          <wp:extent cx="2857500" cy="685800"/>
          <wp:effectExtent l="0" t="0" r="0" b="0"/>
          <wp:wrapTight wrapText="bothSides">
            <wp:wrapPolygon edited="0">
              <wp:start x="0" y="0"/>
              <wp:lineTo x="0" y="21000"/>
              <wp:lineTo x="21456" y="21000"/>
              <wp:lineTo x="21456" y="0"/>
              <wp:lineTo x="0" y="0"/>
            </wp:wrapPolygon>
          </wp:wrapTight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untitle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57500" cy="685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876102">
      <w:rPr>
        <w:b/>
        <w:sz w:val="52"/>
        <w:szCs w:val="52"/>
      </w:rPr>
      <w:t xml:space="preserve">                                                   Business Start Up </w:t>
    </w:r>
  </w:p>
  <w:p w:rsidR="00876102" w:rsidRPr="00876102" w:rsidRDefault="00761A65" w:rsidP="00876102">
    <w:pPr>
      <w:pStyle w:val="Header"/>
      <w:jc w:val="right"/>
      <w:rPr>
        <w:b/>
        <w:sz w:val="52"/>
        <w:szCs w:val="52"/>
      </w:rPr>
    </w:pPr>
    <w:r>
      <w:rPr>
        <w:b/>
        <w:sz w:val="52"/>
        <w:szCs w:val="52"/>
      </w:rPr>
      <w:t>Expense Checklist 2016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5572"/>
    <w:rsid w:val="00035624"/>
    <w:rsid w:val="000A4AEB"/>
    <w:rsid w:val="00193C6B"/>
    <w:rsid w:val="001F53A4"/>
    <w:rsid w:val="002A28A8"/>
    <w:rsid w:val="00303C09"/>
    <w:rsid w:val="004358EF"/>
    <w:rsid w:val="00482CD5"/>
    <w:rsid w:val="005F5BFA"/>
    <w:rsid w:val="00761A65"/>
    <w:rsid w:val="00852468"/>
    <w:rsid w:val="00876102"/>
    <w:rsid w:val="008C1ADD"/>
    <w:rsid w:val="00A10684"/>
    <w:rsid w:val="00AB5572"/>
    <w:rsid w:val="00E74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9FBEE76-4065-4628-A7A4-479A90F5D1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03C0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B55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35624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F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F53A4"/>
  </w:style>
  <w:style w:type="paragraph" w:styleId="Footer">
    <w:name w:val="footer"/>
    <w:basedOn w:val="Normal"/>
    <w:link w:val="FooterChar"/>
    <w:uiPriority w:val="99"/>
    <w:unhideWhenUsed/>
    <w:rsid w:val="001F53A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F53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an@successaccountinggroup.com.au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276</Words>
  <Characters>1578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Reception</cp:lastModifiedBy>
  <cp:revision>8</cp:revision>
  <dcterms:created xsi:type="dcterms:W3CDTF">2014-03-06T03:43:00Z</dcterms:created>
  <dcterms:modified xsi:type="dcterms:W3CDTF">2016-05-15T23:55:00Z</dcterms:modified>
</cp:coreProperties>
</file>