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D185">
      <w:pPr>
        <w:spacing w:after="0" w:line="240" w:lineRule="auto"/>
        <w:rPr>
          <w:rFonts w:ascii="Segoe UI" w:hAnsi="Segoe UI" w:eastAsia="Times New Roman" w:cs="Segoe UI"/>
          <w:b/>
          <w:sz w:val="2"/>
          <w:szCs w:val="2"/>
          <w:vertAlign w:val="subscript"/>
          <w:lang w:eastAsia="en-AU"/>
        </w:rPr>
        <w:sectPr>
          <w:headerReference r:id="rId6" w:type="first"/>
          <w:footerReference r:id="rId7" w:type="first"/>
          <w:headerReference r:id="rId5" w:type="default"/>
          <w:pgSz w:w="11906" w:h="16838"/>
          <w:pgMar w:top="532" w:right="720" w:bottom="1134" w:left="720" w:header="709" w:footer="425" w:gutter="0"/>
          <w:cols w:space="708" w:num="1"/>
          <w:titlePg/>
          <w:docGrid w:linePitch="360" w:charSpace="0"/>
        </w:sectPr>
      </w:pPr>
      <w:r>
        <w:rPr>
          <w:rFonts w:ascii="Open Sans" w:hAnsi="Open Sans" w:cs="Open Sans"/>
          <w:sz w:val="68"/>
          <w:szCs w:val="68"/>
          <w:lang w:val="en-US"/>
        </w:rPr>
        <w:drawing>
          <wp:anchor distT="0" distB="0" distL="114300" distR="114300" simplePos="0" relativeHeight="251660288" behindDoc="0" locked="0" layoutInCell="1" allowOverlap="1">
            <wp:simplePos x="0" y="0"/>
            <wp:positionH relativeFrom="margin">
              <wp:posOffset>-7620</wp:posOffset>
            </wp:positionH>
            <wp:positionV relativeFrom="paragraph">
              <wp:posOffset>-572135</wp:posOffset>
            </wp:positionV>
            <wp:extent cx="1272540" cy="598170"/>
            <wp:effectExtent l="0" t="0" r="3810" b="0"/>
            <wp:wrapNone/>
            <wp:docPr id="28164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4013"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2540" cy="598050"/>
                    </a:xfrm>
                    <a:prstGeom prst="rect">
                      <a:avLst/>
                    </a:prstGeom>
                  </pic:spPr>
                </pic:pic>
              </a:graphicData>
            </a:graphic>
          </wp:anchor>
        </w:drawing>
      </w:r>
    </w:p>
    <w:p w14:paraId="4ECF9B7F">
      <w:pPr>
        <w:spacing w:after="0" w:line="240" w:lineRule="auto"/>
        <w:rPr>
          <w:rFonts w:eastAsia="Times New Roman" w:asciiTheme="minorHAnsi" w:hAnsiTheme="minorHAnsi" w:cstheme="minorHAnsi"/>
          <w:b/>
          <w:bCs/>
          <w:sz w:val="56"/>
          <w:szCs w:val="56"/>
          <w:lang w:eastAsia="en-AU"/>
        </w:rPr>
      </w:pPr>
      <w:r>
        <w:rPr>
          <w:rFonts w:eastAsia="Times New Roman" w:asciiTheme="minorHAnsi" w:hAnsiTheme="minorHAnsi" w:cstheme="minorHAnsi"/>
          <w:b/>
          <w:bCs/>
          <w:sz w:val="56"/>
          <w:szCs w:val="56"/>
          <w:lang w:eastAsia="en-AU"/>
        </w:rPr>
        <w:t>ELECTRIC VEHICLES</w:t>
      </w:r>
    </w:p>
    <w:p w14:paraId="5B47649A">
      <w:pPr>
        <w:spacing w:after="0" w:line="240" w:lineRule="auto"/>
        <w:rPr>
          <w:rFonts w:eastAsia="Times New Roman" w:asciiTheme="minorHAnsi" w:hAnsiTheme="minorHAnsi" w:cstheme="minorHAnsi"/>
          <w:b/>
          <w:bCs/>
          <w:sz w:val="56"/>
          <w:szCs w:val="56"/>
          <w:lang w:eastAsia="en-AU"/>
        </w:rPr>
      </w:pPr>
      <w:r>
        <w:rPr>
          <w:rFonts w:eastAsia="Times New Roman" w:asciiTheme="minorHAnsi" w:hAnsiTheme="minorHAnsi" w:cstheme="minorHAnsi"/>
          <w:b/>
          <w:bCs/>
          <w:sz w:val="56"/>
          <w:szCs w:val="56"/>
          <w:lang w:eastAsia="en-AU"/>
        </w:rPr>
        <w:t>+ FBT BENEFITS</w:t>
      </w:r>
    </w:p>
    <w:p w14:paraId="62611B01">
      <w:pPr>
        <w:spacing w:after="0" w:line="240" w:lineRule="auto"/>
        <w:rPr>
          <w:rFonts w:ascii="Segoe UI" w:hAnsi="Segoe UI" w:eastAsia="Times New Roman" w:cs="Segoe UI"/>
          <w:lang w:eastAsia="en-AU"/>
        </w:rPr>
      </w:pPr>
    </w:p>
    <w:p w14:paraId="4255D712">
      <w:pPr>
        <w:spacing w:after="0" w:line="240" w:lineRule="auto"/>
        <w:rPr>
          <w:rFonts w:ascii="Segoe UI" w:hAnsi="Segoe UI" w:eastAsia="Times New Roman" w:cs="Segoe UI"/>
          <w:lang w:eastAsia="en-AU"/>
        </w:rPr>
      </w:pPr>
    </w:p>
    <w:p w14:paraId="302E6004">
      <w:pPr>
        <w:spacing w:after="0" w:line="240" w:lineRule="auto"/>
        <w:rPr>
          <w:rFonts w:ascii="Segoe UI" w:hAnsi="Segoe UI" w:cs="Segoe UI"/>
          <w:sz w:val="20"/>
        </w:rPr>
      </w:pPr>
    </w:p>
    <w:p w14:paraId="1DB7D031">
      <w:pPr>
        <w:spacing w:after="0" w:line="240" w:lineRule="auto"/>
        <w:rPr>
          <w:rFonts w:ascii="Segoe UI" w:hAnsi="Segoe UI" w:cs="Segoe UI"/>
          <w:sz w:val="20"/>
          <w:szCs w:val="20"/>
        </w:rPr>
      </w:pPr>
      <w:r>
        <w:rPr>
          <w:rFonts w:ascii="Segoe UI" w:hAnsi="Segoe UI" w:cs="Segoe UI"/>
          <w:sz w:val="20"/>
          <w:szCs w:val="20"/>
        </w:rPr>
        <w:t>From 1 July 2022, employers do not pay FBT on eligible electric cars and associated car expenses. You do not pay FBT if you provide private use of an electric car that meets all the following conditions:</w:t>
      </w:r>
    </w:p>
    <w:p w14:paraId="2FBAA5B1">
      <w:pPr>
        <w:spacing w:after="0" w:line="240" w:lineRule="auto"/>
        <w:rPr>
          <w:rFonts w:ascii="Segoe UI" w:hAnsi="Segoe UI" w:cs="Segoe UI"/>
          <w:sz w:val="20"/>
          <w:szCs w:val="20"/>
        </w:rPr>
      </w:pPr>
    </w:p>
    <w:p w14:paraId="25C21A1D">
      <w:pPr>
        <w:pStyle w:val="14"/>
        <w:numPr>
          <w:ilvl w:val="0"/>
          <w:numId w:val="1"/>
        </w:numPr>
        <w:spacing w:after="0" w:line="240" w:lineRule="auto"/>
        <w:rPr>
          <w:rFonts w:ascii="Segoe UI" w:hAnsi="Segoe UI" w:cs="Segoe UI"/>
          <w:sz w:val="20"/>
          <w:szCs w:val="20"/>
        </w:rPr>
      </w:pPr>
      <w:r>
        <w:rPr>
          <w:rFonts w:ascii="Segoe UI" w:hAnsi="Segoe UI" w:cs="Segoe UI"/>
          <w:sz w:val="20"/>
          <w:szCs w:val="20"/>
        </w:rPr>
        <w:t>the car is a zero or low emissions vehicle (battery electric, hydrogen fuel cell, or plug-in hybrid electric vehicle)</w:t>
      </w:r>
    </w:p>
    <w:p w14:paraId="317DBAEB">
      <w:pPr>
        <w:pStyle w:val="14"/>
        <w:numPr>
          <w:ilvl w:val="0"/>
          <w:numId w:val="1"/>
        </w:numPr>
        <w:spacing w:after="0" w:line="240" w:lineRule="auto"/>
        <w:rPr>
          <w:rFonts w:ascii="Segoe UI" w:hAnsi="Segoe UI" w:cs="Segoe UI"/>
          <w:sz w:val="20"/>
          <w:szCs w:val="20"/>
        </w:rPr>
      </w:pPr>
      <w:r>
        <w:rPr>
          <w:rFonts w:ascii="Segoe UI" w:hAnsi="Segoe UI" w:cs="Segoe UI"/>
          <w:sz w:val="20"/>
          <w:szCs w:val="20"/>
        </w:rPr>
        <w:t>the first time the car is both held and used is on or after 1 July 2022</w:t>
      </w:r>
    </w:p>
    <w:p w14:paraId="236A0EF2">
      <w:pPr>
        <w:pStyle w:val="14"/>
        <w:numPr>
          <w:ilvl w:val="0"/>
          <w:numId w:val="1"/>
        </w:numPr>
        <w:spacing w:after="0" w:line="240" w:lineRule="auto"/>
        <w:rPr>
          <w:rFonts w:ascii="Segoe UI" w:hAnsi="Segoe UI" w:cs="Segoe UI"/>
          <w:sz w:val="20"/>
          <w:szCs w:val="20"/>
        </w:rPr>
      </w:pPr>
      <w:r>
        <w:rPr>
          <w:rFonts w:ascii="Segoe UI" w:hAnsi="Segoe UI" w:cs="Segoe UI"/>
          <w:sz w:val="20"/>
          <w:szCs w:val="20"/>
        </w:rPr>
        <w:t>the car is used by a current employee or their associates (such as family members)</w:t>
      </w:r>
    </w:p>
    <w:p w14:paraId="79DB94F3">
      <w:pPr>
        <w:pStyle w:val="14"/>
        <w:numPr>
          <w:ilvl w:val="0"/>
          <w:numId w:val="1"/>
        </w:numPr>
        <w:spacing w:after="0" w:line="240" w:lineRule="auto"/>
        <w:rPr>
          <w:rFonts w:ascii="Segoe UI" w:hAnsi="Segoe UI" w:cs="Segoe UI"/>
          <w:sz w:val="20"/>
          <w:szCs w:val="20"/>
        </w:rPr>
      </w:pPr>
      <w:r>
        <w:rPr>
          <w:rFonts w:ascii="Segoe UI" w:hAnsi="Segoe UI" w:cs="Segoe UI"/>
          <w:sz w:val="20"/>
          <w:szCs w:val="20"/>
        </w:rPr>
        <w:t>luxury car tax (LCT) has never been payable on the importation or sale of the car.</w:t>
      </w:r>
    </w:p>
    <w:p w14:paraId="064A662C">
      <w:pPr>
        <w:spacing w:after="0" w:line="240" w:lineRule="auto"/>
        <w:rPr>
          <w:rFonts w:ascii="Segoe UI" w:hAnsi="Segoe UI" w:cs="Segoe UI"/>
          <w:sz w:val="20"/>
          <w:szCs w:val="20"/>
        </w:rPr>
      </w:pPr>
    </w:p>
    <w:p w14:paraId="77EE2DBA">
      <w:pPr>
        <w:spacing w:after="0" w:line="240" w:lineRule="auto"/>
        <w:rPr>
          <w:rFonts w:ascii="Segoe UI" w:hAnsi="Segoe UI" w:cs="Segoe UI"/>
          <w:b/>
          <w:bCs/>
          <w:sz w:val="20"/>
          <w:szCs w:val="20"/>
        </w:rPr>
      </w:pPr>
      <w:r>
        <w:rPr>
          <w:rFonts w:ascii="Segoe UI" w:hAnsi="Segoe UI" w:cs="Segoe UI"/>
          <w:b/>
          <w:bCs/>
          <w:sz w:val="20"/>
          <w:szCs w:val="20"/>
        </w:rPr>
        <w:t>Benefits provided under a salary packaging for a zero or low emissions vehicle</w:t>
      </w:r>
    </w:p>
    <w:p w14:paraId="075D37BA">
      <w:pPr>
        <w:spacing w:after="0" w:line="240" w:lineRule="auto"/>
        <w:rPr>
          <w:rFonts w:ascii="Segoe UI" w:hAnsi="Segoe UI" w:cs="Segoe UI"/>
          <w:sz w:val="20"/>
          <w:szCs w:val="20"/>
        </w:rPr>
      </w:pPr>
    </w:p>
    <w:p w14:paraId="1E2F977D">
      <w:pPr>
        <w:spacing w:after="0" w:line="240" w:lineRule="auto"/>
        <w:rPr>
          <w:rFonts w:ascii="Segoe UI" w:hAnsi="Segoe UI" w:cs="Segoe UI"/>
          <w:sz w:val="20"/>
          <w:szCs w:val="20"/>
        </w:rPr>
      </w:pPr>
      <w:r>
        <w:rPr>
          <w:rFonts w:ascii="Segoe UI" w:hAnsi="Segoe UI" w:cs="Segoe UI"/>
          <w:sz w:val="20"/>
          <w:szCs w:val="20"/>
        </w:rPr>
        <w:t>A vehicle is a zero or low emissions vehicle if it satisfies both of these conditions:</w:t>
      </w:r>
    </w:p>
    <w:p w14:paraId="6596A7B9">
      <w:pPr>
        <w:spacing w:after="0" w:line="240" w:lineRule="auto"/>
        <w:rPr>
          <w:rFonts w:ascii="Segoe UI" w:hAnsi="Segoe UI" w:cs="Segoe UI"/>
          <w:sz w:val="20"/>
          <w:szCs w:val="20"/>
        </w:rPr>
      </w:pPr>
    </w:p>
    <w:p w14:paraId="22A60E85">
      <w:pPr>
        <w:spacing w:after="0" w:line="240" w:lineRule="auto"/>
        <w:rPr>
          <w:rFonts w:ascii="Segoe UI" w:hAnsi="Segoe UI" w:cs="Segoe UI"/>
          <w:sz w:val="20"/>
          <w:szCs w:val="20"/>
        </w:rPr>
      </w:pPr>
      <w:r>
        <w:rPr>
          <w:rFonts w:ascii="Segoe UI" w:hAnsi="Segoe UI" w:cs="Segoe UI"/>
          <w:sz w:val="20"/>
          <w:szCs w:val="20"/>
        </w:rPr>
        <w:t xml:space="preserve">It is a:  </w:t>
      </w:r>
    </w:p>
    <w:p w14:paraId="5787DB62">
      <w:pPr>
        <w:pStyle w:val="14"/>
        <w:numPr>
          <w:ilvl w:val="0"/>
          <w:numId w:val="2"/>
        </w:numPr>
        <w:spacing w:after="0" w:line="240" w:lineRule="auto"/>
        <w:rPr>
          <w:rFonts w:ascii="Segoe UI" w:hAnsi="Segoe UI" w:cs="Segoe UI"/>
          <w:sz w:val="20"/>
          <w:szCs w:val="20"/>
        </w:rPr>
      </w:pPr>
      <w:r>
        <w:rPr>
          <w:rFonts w:ascii="Segoe UI" w:hAnsi="Segoe UI" w:cs="Segoe UI"/>
          <w:sz w:val="20"/>
          <w:szCs w:val="20"/>
        </w:rPr>
        <w:t>battery electric vehicle</w:t>
      </w:r>
    </w:p>
    <w:p w14:paraId="11F81AFE">
      <w:pPr>
        <w:pStyle w:val="14"/>
        <w:numPr>
          <w:ilvl w:val="0"/>
          <w:numId w:val="2"/>
        </w:numPr>
        <w:spacing w:after="0" w:line="240" w:lineRule="auto"/>
        <w:rPr>
          <w:rFonts w:ascii="Segoe UI" w:hAnsi="Segoe UI" w:cs="Segoe UI"/>
          <w:sz w:val="20"/>
          <w:szCs w:val="20"/>
        </w:rPr>
      </w:pPr>
      <w:r>
        <w:rPr>
          <w:rFonts w:ascii="Segoe UI" w:hAnsi="Segoe UI" w:cs="Segoe UI"/>
          <w:sz w:val="20"/>
          <w:szCs w:val="20"/>
        </w:rPr>
        <w:t>hydrogen fuel cell electric vehicle, or</w:t>
      </w:r>
    </w:p>
    <w:p w14:paraId="36AE97F7">
      <w:pPr>
        <w:pStyle w:val="14"/>
        <w:numPr>
          <w:ilvl w:val="0"/>
          <w:numId w:val="2"/>
        </w:numPr>
        <w:spacing w:after="0" w:line="240" w:lineRule="auto"/>
        <w:rPr>
          <w:rFonts w:ascii="Segoe UI" w:hAnsi="Segoe UI" w:cs="Segoe UI"/>
          <w:sz w:val="20"/>
          <w:szCs w:val="20"/>
        </w:rPr>
      </w:pPr>
      <w:r>
        <w:rPr>
          <w:rFonts w:ascii="Segoe UI" w:hAnsi="Segoe UI" w:cs="Segoe UI"/>
          <w:sz w:val="20"/>
          <w:szCs w:val="20"/>
        </w:rPr>
        <w:t>plug-in hybrid electric vehicle.</w:t>
      </w:r>
    </w:p>
    <w:p w14:paraId="23105D7D">
      <w:pPr>
        <w:pStyle w:val="14"/>
        <w:numPr>
          <w:ilvl w:val="0"/>
          <w:numId w:val="2"/>
        </w:numPr>
        <w:spacing w:after="0" w:line="240" w:lineRule="auto"/>
        <w:rPr>
          <w:rFonts w:ascii="Segoe UI" w:hAnsi="Segoe UI" w:cs="Segoe UI"/>
          <w:sz w:val="20"/>
          <w:szCs w:val="20"/>
        </w:rPr>
      </w:pPr>
      <w:r>
        <w:rPr>
          <w:rFonts w:ascii="Segoe UI" w:hAnsi="Segoe UI" w:cs="Segoe UI"/>
          <w:sz w:val="20"/>
          <w:szCs w:val="20"/>
        </w:rPr>
        <w:t>It is a car designed to carry a load of less than 1 tonne and fewer than 9 passengers (including the driver).</w:t>
      </w:r>
    </w:p>
    <w:p w14:paraId="5DB5345E">
      <w:pPr>
        <w:pStyle w:val="14"/>
        <w:numPr>
          <w:ilvl w:val="0"/>
          <w:numId w:val="2"/>
        </w:numPr>
        <w:spacing w:after="0" w:line="240" w:lineRule="auto"/>
        <w:rPr>
          <w:rFonts w:ascii="Segoe UI" w:hAnsi="Segoe UI" w:cs="Segoe UI"/>
          <w:sz w:val="20"/>
          <w:szCs w:val="20"/>
        </w:rPr>
      </w:pPr>
      <w:r>
        <w:rPr>
          <w:rFonts w:ascii="Segoe UI" w:hAnsi="Segoe UI" w:cs="Segoe UI"/>
          <w:sz w:val="20"/>
          <w:szCs w:val="20"/>
        </w:rPr>
        <w:t>Motorcycles and scooters are not cars for FBT purposes and do not qualify for the exemption, even if they are electric.</w:t>
      </w:r>
    </w:p>
    <w:p w14:paraId="20B78265">
      <w:pPr>
        <w:pStyle w:val="14"/>
        <w:spacing w:after="0" w:line="240" w:lineRule="auto"/>
        <w:rPr>
          <w:rFonts w:ascii="Segoe UI" w:hAnsi="Segoe UI" w:cs="Segoe UI"/>
          <w:sz w:val="20"/>
          <w:szCs w:val="20"/>
        </w:rPr>
      </w:pPr>
    </w:p>
    <w:p w14:paraId="100D86B5">
      <w:pPr>
        <w:spacing w:after="0" w:line="240" w:lineRule="auto"/>
        <w:rPr>
          <w:rFonts w:ascii="Segoe UI" w:hAnsi="Segoe UI" w:cs="Segoe UI"/>
          <w:i/>
          <w:iCs/>
          <w:sz w:val="20"/>
          <w:szCs w:val="20"/>
        </w:rPr>
      </w:pPr>
      <w:r>
        <w:rPr>
          <w:rFonts w:ascii="Segoe UI" w:hAnsi="Segoe UI" w:cs="Segoe UI"/>
          <w:i/>
          <w:iCs/>
          <w:sz w:val="20"/>
          <w:szCs w:val="20"/>
        </w:rPr>
        <w:t>From 1 April 2025 however, a plug-in hybrid electric vehicle will not be considered a zero or low emissions vehicle under FBT law.</w:t>
      </w:r>
    </w:p>
    <w:p w14:paraId="403A1A3E">
      <w:pPr>
        <w:spacing w:after="0" w:line="240" w:lineRule="auto"/>
        <w:rPr>
          <w:rFonts w:ascii="Segoe UI" w:hAnsi="Segoe UI" w:cs="Segoe UI"/>
          <w:sz w:val="20"/>
          <w:szCs w:val="20"/>
        </w:rPr>
      </w:pPr>
    </w:p>
    <w:p w14:paraId="30F6FA03">
      <w:pPr>
        <w:spacing w:after="0" w:line="240" w:lineRule="auto"/>
        <w:rPr>
          <w:rFonts w:ascii="Segoe UI" w:hAnsi="Segoe UI" w:cs="Segoe UI"/>
          <w:b/>
          <w:bCs/>
          <w:sz w:val="20"/>
          <w:szCs w:val="20"/>
        </w:rPr>
      </w:pPr>
      <w:r>
        <w:rPr>
          <w:rFonts w:ascii="Segoe UI" w:hAnsi="Segoe UI" w:cs="Segoe UI"/>
          <w:b/>
          <w:bCs/>
          <w:sz w:val="20"/>
          <w:szCs w:val="20"/>
        </w:rPr>
        <w:t>Employee contributions – savings due to salary sacrifice arrangement</w:t>
      </w:r>
    </w:p>
    <w:p w14:paraId="620DFC04">
      <w:pPr>
        <w:spacing w:after="0" w:line="240" w:lineRule="auto"/>
        <w:rPr>
          <w:rFonts w:ascii="Segoe UI" w:hAnsi="Segoe UI" w:cs="Segoe UI"/>
          <w:sz w:val="20"/>
          <w:szCs w:val="20"/>
        </w:rPr>
      </w:pPr>
    </w:p>
    <w:p w14:paraId="0220159E">
      <w:pPr>
        <w:spacing w:after="0" w:line="240" w:lineRule="auto"/>
        <w:rPr>
          <w:rFonts w:ascii="Segoe UI" w:hAnsi="Segoe UI" w:cs="Segoe UI"/>
          <w:sz w:val="20"/>
          <w:szCs w:val="20"/>
        </w:rPr>
      </w:pPr>
      <w:r>
        <w:rPr>
          <w:rFonts w:ascii="Segoe UI" w:hAnsi="Segoe UI" w:cs="Segoe UI"/>
          <w:sz w:val="20"/>
          <w:szCs w:val="20"/>
        </w:rPr>
        <w:t>Where an employee enters into a novated lease arrangement, or otherwise agrees to financially contribute towards the provision of a car fringe benefit, some or all of the employee contribution will typically be made from after-tax salary. For electric cars that qualify for this exemption, the total contribution made by an employee may now be made from pre-tax amounts. This change is expected to provide significant tax savings for the employee due to reduced taxable income.</w:t>
      </w:r>
    </w:p>
    <w:p w14:paraId="0BA6DE55">
      <w:pPr>
        <w:spacing w:after="0" w:line="240" w:lineRule="auto"/>
        <w:rPr>
          <w:rFonts w:ascii="Segoe UI" w:hAnsi="Segoe UI" w:cs="Segoe UI"/>
          <w:sz w:val="20"/>
          <w:szCs w:val="20"/>
        </w:rPr>
      </w:pPr>
    </w:p>
    <w:p w14:paraId="038B702B">
      <w:pPr>
        <w:spacing w:after="0" w:line="240" w:lineRule="auto"/>
        <w:rPr>
          <w:rFonts w:ascii="Segoe UI" w:hAnsi="Segoe UI" w:cs="Segoe UI"/>
          <w:b/>
          <w:bCs/>
          <w:sz w:val="20"/>
          <w:szCs w:val="20"/>
        </w:rPr>
      </w:pPr>
      <w:r>
        <w:rPr>
          <w:rFonts w:ascii="Segoe UI" w:hAnsi="Segoe UI" w:cs="Segoe UI"/>
          <w:b/>
          <w:bCs/>
          <w:sz w:val="20"/>
          <w:szCs w:val="20"/>
        </w:rPr>
        <w:t>Charging the electric car at an employee’s home</w:t>
      </w:r>
    </w:p>
    <w:p w14:paraId="74FC1729">
      <w:pPr>
        <w:spacing w:after="0" w:line="240" w:lineRule="auto"/>
        <w:rPr>
          <w:rFonts w:ascii="Segoe UI" w:hAnsi="Segoe UI" w:cs="Segoe UI"/>
          <w:sz w:val="20"/>
          <w:szCs w:val="20"/>
        </w:rPr>
      </w:pPr>
    </w:p>
    <w:p w14:paraId="3F364FED">
      <w:pPr>
        <w:spacing w:after="0" w:line="240" w:lineRule="auto"/>
        <w:rPr>
          <w:rFonts w:ascii="Segoe UI" w:hAnsi="Segoe UI" w:cs="Segoe UI"/>
          <w:sz w:val="20"/>
          <w:szCs w:val="20"/>
        </w:rPr>
      </w:pPr>
      <w:r>
        <w:rPr>
          <w:rFonts w:ascii="Segoe UI" w:hAnsi="Segoe UI" w:cs="Segoe UI"/>
          <w:sz w:val="20"/>
          <w:szCs w:val="20"/>
        </w:rPr>
        <w:t>A car expense is defined for FBT purposes to include fuel. The ATO has confirmed in its recent guidance that fuel which includes ‘electricity to charge and run electric cars’, constitutes a car expense. Employees who charge their cars at home may seek reimbursement or, alternatively, seek to salary sacrifice these costs. However, in the absence of a separate meter to measure the electricity consumption, an employee cannot calculate and record the electricity costs associated with charging their electric car.</w:t>
      </w:r>
    </w:p>
    <w:p w14:paraId="3F1B8D47">
      <w:pPr>
        <w:spacing w:after="0" w:line="240" w:lineRule="auto"/>
        <w:rPr>
          <w:rFonts w:ascii="Segoe UI" w:hAnsi="Segoe UI" w:cs="Segoe UI"/>
          <w:sz w:val="20"/>
          <w:szCs w:val="20"/>
        </w:rPr>
      </w:pPr>
    </w:p>
    <w:p w14:paraId="6F38C670">
      <w:pPr>
        <w:spacing w:after="0" w:line="240" w:lineRule="auto"/>
        <w:rPr>
          <w:rFonts w:ascii="Segoe UI" w:hAnsi="Segoe UI" w:cs="Segoe UI"/>
          <w:sz w:val="20"/>
          <w:szCs w:val="20"/>
        </w:rPr>
      </w:pPr>
      <w:r>
        <w:rPr>
          <w:rFonts w:ascii="Segoe UI" w:hAnsi="Segoe UI" w:cs="Segoe UI"/>
          <w:sz w:val="20"/>
          <w:szCs w:val="20"/>
        </w:rPr>
        <w:t>In summary, this exemption encourages the adoption of electric cars by reducing the tax burden associated with providing them as employee benefits. Employers can now support sustainable transportation options without incurring additional FBT costs.</w:t>
      </w:r>
    </w:p>
    <w:p w14:paraId="0428DB52">
      <w:pPr>
        <w:spacing w:after="0" w:line="240" w:lineRule="auto"/>
        <w:rPr>
          <w:rFonts w:ascii="Segoe UI" w:hAnsi="Segoe UI" w:cs="Segoe UI"/>
          <w:sz w:val="20"/>
          <w:szCs w:val="20"/>
        </w:rPr>
      </w:pPr>
    </w:p>
    <w:p w14:paraId="05C80260">
      <w:pPr>
        <w:spacing w:after="0" w:line="240" w:lineRule="auto"/>
        <w:rPr>
          <w:rFonts w:ascii="Segoe UI" w:hAnsi="Segoe UI" w:cs="Segoe UI"/>
          <w:sz w:val="20"/>
        </w:rPr>
      </w:pPr>
      <w:r>
        <w:rPr>
          <w:rFonts w:ascii="Segoe UI" w:hAnsi="Segoe UI" w:cs="Segoe UI"/>
          <w:sz w:val="20"/>
        </w:rPr>
        <w:t>The ATO has signalled that there will be an increased focus on FBT this year so if you would like to ensure your business is compliant, please contact your advisor at Success Accounting Group as soon as possible.</w:t>
      </w:r>
    </w:p>
    <w:p w14:paraId="2D89691C">
      <w:pPr>
        <w:spacing w:after="0" w:line="240" w:lineRule="auto"/>
        <w:rPr>
          <w:rFonts w:ascii="Segoe UI" w:hAnsi="Segoe UI" w:eastAsia="Times New Roman" w:cs="Segoe UI"/>
          <w:sz w:val="20"/>
          <w:szCs w:val="20"/>
          <w:lang w:eastAsia="en-AU"/>
        </w:rPr>
      </w:pPr>
    </w:p>
    <w:p w14:paraId="7920ADA5">
      <w:pPr>
        <w:spacing w:after="0" w:line="240" w:lineRule="auto"/>
        <w:ind w:right="-1"/>
        <w:rPr>
          <w:rFonts w:ascii="Segoe UI" w:hAnsi="Segoe UI" w:eastAsia="Times New Roman" w:cs="Segoe UI"/>
          <w:b/>
          <w:sz w:val="20"/>
          <w:szCs w:val="20"/>
          <w:lang w:eastAsia="en-AU"/>
        </w:rPr>
      </w:pPr>
      <w:r>
        <w:rPr>
          <w:rFonts w:ascii="Segoe UI" w:hAnsi="Segoe UI" w:eastAsia="Times New Roman" w:cs="Segoe UI"/>
          <w:b/>
          <w:sz w:val="20"/>
          <w:szCs w:val="20"/>
          <w:lang w:eastAsia="en-AU"/>
        </w:rPr>
        <w:t>SUCCESS ACCOUNTING GROUP</w:t>
      </w:r>
    </w:p>
    <w:p w14:paraId="5B9CA685">
      <w:pPr>
        <w:spacing w:after="0" w:line="240" w:lineRule="auto"/>
        <w:ind w:right="-1"/>
        <w:rPr>
          <w:rFonts w:ascii="Segoe UI" w:hAnsi="Segoe UI" w:eastAsia="Times New Roman" w:cs="Segoe UI"/>
          <w:sz w:val="20"/>
          <w:szCs w:val="20"/>
          <w:lang w:eastAsia="en-AU"/>
        </w:rPr>
        <w:sectPr>
          <w:headerReference r:id="rId8" w:type="default"/>
          <w:type w:val="continuous"/>
          <w:pgSz w:w="11906" w:h="16838"/>
          <w:pgMar w:top="567" w:right="720" w:bottom="709" w:left="720" w:header="709" w:footer="425" w:gutter="0"/>
          <w:cols w:space="566" w:num="2"/>
          <w:titlePg/>
          <w:docGrid w:linePitch="360" w:charSpace="0"/>
        </w:sectPr>
      </w:pPr>
      <w:r>
        <w:rPr>
          <w:rFonts w:ascii="Segoe UI" w:hAnsi="Segoe UI" w:eastAsia="Times New Roman" w:cs="Segoe UI"/>
          <w:b/>
          <w:sz w:val="20"/>
          <w:szCs w:val="20"/>
          <w:lang w:eastAsia="en-AU"/>
        </w:rPr>
        <w:t>a</w:t>
      </w:r>
      <w:r>
        <w:rPr>
          <w:rFonts w:ascii="Segoe UI" w:hAnsi="Segoe UI" w:eastAsia="Times New Roman" w:cs="Segoe UI"/>
          <w:sz w:val="20"/>
          <w:szCs w:val="20"/>
          <w:lang w:eastAsia="en-AU"/>
        </w:rPr>
        <w:t xml:space="preserve"> 3/135 Lower Dandenong Rd, Mentone VIC 3194</w:t>
      </w:r>
      <w:bookmarkStart w:id="0" w:name="_GoBack"/>
      <w:bookmarkEnd w:id="0"/>
      <w:r>
        <w:rPr>
          <w:rFonts w:ascii="Segoe UI" w:hAnsi="Segoe UI" w:eastAsia="Times New Roman" w:cs="Segoe UI"/>
          <w:sz w:val="20"/>
          <w:szCs w:val="20"/>
          <w:lang w:eastAsia="en-AU"/>
        </w:rPr>
        <w:br w:type="textWrapping"/>
      </w:r>
      <w:r>
        <w:rPr>
          <w:rFonts w:ascii="Segoe UI" w:hAnsi="Segoe UI" w:eastAsia="Times New Roman" w:cs="Segoe UI"/>
          <w:b/>
          <w:sz w:val="20"/>
          <w:szCs w:val="20"/>
          <w:lang w:eastAsia="en-AU"/>
        </w:rPr>
        <w:t>e</w:t>
      </w:r>
      <w:r>
        <w:rPr>
          <w:rFonts w:ascii="Segoe UI" w:hAnsi="Segoe UI" w:eastAsia="Times New Roman" w:cs="Segoe UI"/>
          <w:sz w:val="20"/>
          <w:szCs w:val="20"/>
          <w:lang w:eastAsia="en-AU"/>
        </w:rPr>
        <w:t xml:space="preserve"> lan@successaccountinggroup.com.au</w:t>
      </w:r>
    </w:p>
    <w:p w14:paraId="77F8BF89">
      <w:pPr>
        <w:spacing w:after="0" w:line="240" w:lineRule="auto"/>
        <w:rPr>
          <w:rFonts w:ascii="Segoe UI" w:hAnsi="Segoe UI" w:cs="Segoe UI"/>
          <w:i/>
          <w:color w:val="7F7F7F"/>
          <w:sz w:val="2"/>
          <w:szCs w:val="2"/>
        </w:rPr>
      </w:pPr>
    </w:p>
    <w:sectPr>
      <w:type w:val="continuous"/>
      <w:pgSz w:w="11906" w:h="16838"/>
      <w:pgMar w:top="709"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Segoe UI Semibold">
    <w:panose1 w:val="020B07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69FA">
    <w:pPr>
      <w:pStyle w:val="8"/>
      <w:jc w:val="right"/>
    </w:pPr>
    <w:r>
      <w:rPr>
        <w:rFonts w:ascii="Segoe UI" w:hAnsi="Segoe UI" w:cs="Segoe UI"/>
        <w:i/>
        <w:color w:val="7F7F7F"/>
        <w:sz w:val="12"/>
        <w:szCs w:val="12"/>
      </w:rPr>
      <w:t xml:space="preserve">© 2024 Success Accounting Group | Last Updated </w:t>
    </w:r>
    <w:r>
      <w:rPr>
        <w:rFonts w:ascii="Segoe UI" w:hAnsi="Segoe UI" w:cs="Segoe UI"/>
        <w:i/>
        <w:color w:val="7F7F7F"/>
        <w:sz w:val="12"/>
        <w:szCs w:val="12"/>
      </w:rPr>
      <w:fldChar w:fldCharType="begin"/>
    </w:r>
    <w:r>
      <w:rPr>
        <w:rFonts w:ascii="Segoe UI" w:hAnsi="Segoe UI" w:cs="Segoe UI"/>
        <w:i/>
        <w:color w:val="7F7F7F"/>
        <w:sz w:val="12"/>
        <w:szCs w:val="12"/>
      </w:rPr>
      <w:instrText xml:space="preserve"> DATE \@ "d MMMM yyyy" </w:instrText>
    </w:r>
    <w:r>
      <w:rPr>
        <w:rFonts w:ascii="Segoe UI" w:hAnsi="Segoe UI" w:cs="Segoe UI"/>
        <w:i/>
        <w:color w:val="7F7F7F"/>
        <w:sz w:val="12"/>
        <w:szCs w:val="12"/>
      </w:rPr>
      <w:fldChar w:fldCharType="separate"/>
    </w:r>
    <w:r>
      <w:rPr>
        <w:rFonts w:ascii="Segoe UI" w:hAnsi="Segoe UI" w:cs="Segoe UI"/>
        <w:i/>
        <w:color w:val="7F7F7F"/>
        <w:sz w:val="12"/>
        <w:szCs w:val="12"/>
      </w:rPr>
      <w:t>10 June 2026</w:t>
    </w:r>
    <w:r>
      <w:rPr>
        <w:rFonts w:ascii="Segoe UI" w:hAnsi="Segoe UI" w:cs="Segoe UI"/>
        <w:i/>
        <w:color w:val="7F7F7F"/>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9E05">
    <w:pPr>
      <w:pStyle w:val="9"/>
    </w:pPr>
    <w:r>
      <w:rPr>
        <w:lang w:eastAsia="en-AU"/>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-449580</wp:posOffset>
              </wp:positionV>
              <wp:extent cx="756285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62850" cy="1733550"/>
                      </a:xfrm>
                      <a:prstGeom prst="rect">
                        <a:avLst/>
                      </a:prstGeom>
                      <a:solidFill>
                        <a:srgbClr val="8BB836"/>
                      </a:solidFill>
                      <a:ln w="6350">
                        <a:noFill/>
                      </a:ln>
                      <a:effectLst/>
                    </wps:spPr>
                    <wps:txbx>
                      <w:txbxContent>
                        <w:p w14:paraId="20F6E066">
                          <w:pPr>
                            <w:spacing w:before="240" w:after="0" w:line="240" w:lineRule="auto"/>
                            <w:ind w:left="567" w:right="795"/>
                            <w:rPr>
                              <w:rFonts w:ascii="Segoe UI" w:hAnsi="Segoe UI" w:cs="Segoe UI"/>
                              <w:b/>
                              <w:color w:val="FFFFFF"/>
                              <w:sz w:val="72"/>
                            </w:rPr>
                          </w:pPr>
                          <w:r>
                            <w:rPr>
                              <w:rFonts w:ascii="Segoe UI" w:hAnsi="Segoe UI" w:cs="Segoe UI"/>
                              <w:b/>
                              <w:color w:val="FFFFFF"/>
                              <w:sz w:val="72"/>
                            </w:rPr>
                            <w:t>What is a Car Fringe Benefit?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6pt;margin-top:-35.4pt;height:136.5pt;width:595.5pt;z-index:251659264;v-text-anchor:middle;mso-width-relative:page;mso-height-relative:page;" fillcolor="#8BB836" filled="t" stroked="f" coordsize="21600,21600" o:gfxdata="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QYnOO2AAAAAwBAAAPAAAAAAAAAAEA&#10;IAAAACIAAABkcnMvZG93bnJldi54bWxQSwECFAAUAAAACACHTuJABSvN+kgCAACfBAAADgAAAAAA&#10;AAABACAAAAAnAQAAZHJzL2Uyb0RvYy54bWxQSwUGAAAAAAYABgBZAQAA4QUAAAAA&#10;">
              <v:fill on="t" focussize="0,0"/>
              <v:stroke on="f" weight="0.5pt"/>
              <v:imagedata o:title=""/>
              <o:lock v:ext="edit" aspectratio="f"/>
              <v:textbox>
                <w:txbxContent>
                  <w:p w14:paraId="20F6E066">
                    <w:pPr>
                      <w:spacing w:before="240" w:after="0" w:line="240" w:lineRule="auto"/>
                      <w:ind w:left="567" w:right="795"/>
                      <w:rPr>
                        <w:rFonts w:ascii="Segoe UI" w:hAnsi="Segoe UI" w:cs="Segoe UI"/>
                        <w:b/>
                        <w:color w:val="FFFFFF"/>
                        <w:sz w:val="72"/>
                      </w:rPr>
                    </w:pPr>
                    <w:r>
                      <w:rPr>
                        <w:rFonts w:ascii="Segoe UI" w:hAnsi="Segoe UI" w:cs="Segoe UI"/>
                        <w:b/>
                        <w:color w:val="FFFFFF"/>
                        <w:sz w:val="72"/>
                      </w:rPr>
                      <w:t>What is a Car Fringe Benefit?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A539">
    <w:pPr>
      <w:pStyle w:val="9"/>
      <w:rPr>
        <w:rFonts w:ascii="Segoe UI Semibold" w:hAnsi="Segoe UI Semibold"/>
      </w:rPr>
    </w:pPr>
    <w:r>
      <w:rPr>
        <w:rFonts w:ascii="Segoe UI Semibold" w:hAnsi="Segoe UI Semibold"/>
        <w:lang w:eastAsia="en-AU"/>
      </w:rPr>
      <mc:AlternateContent>
        <mc:Choice Requires="wps">
          <w:drawing>
            <wp:anchor distT="0" distB="0" distL="114300" distR="114300" simplePos="0" relativeHeight="251659264" behindDoc="1" locked="0" layoutInCell="1" allowOverlap="1">
              <wp:simplePos x="0" y="0"/>
              <wp:positionH relativeFrom="page">
                <wp:posOffset>-40005</wp:posOffset>
              </wp:positionH>
              <wp:positionV relativeFrom="page">
                <wp:posOffset>1628775</wp:posOffset>
              </wp:positionV>
              <wp:extent cx="4291330" cy="180975"/>
              <wp:effectExtent l="0" t="0" r="0" b="9525"/>
              <wp:wrapNone/>
              <wp:docPr id="43" name="Rectangle 43"/>
              <wp:cNvGraphicFramePr/>
              <a:graphic xmlns:a="http://schemas.openxmlformats.org/drawingml/2006/main">
                <a:graphicData uri="http://schemas.microsoft.com/office/word/2010/wordprocessingShape">
                  <wps:wsp>
                    <wps:cNvSpPr/>
                    <wps:spPr>
                      <a:xfrm>
                        <a:off x="0" y="0"/>
                        <a:ext cx="4291100" cy="180975"/>
                      </a:xfrm>
                      <a:prstGeom prst="rect">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pt;margin-top:128.25pt;height:14.25pt;width:337.9pt;mso-position-horizontal-relative:page;mso-position-vertical-relative:page;z-index:-251657216;v-text-anchor:middle;mso-width-relative:page;mso-height-relative:page;" fillcolor="#12262F" filled="t" stroked="f" coordsize="21600,21600" o:gfxdata="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L+E4twAAAAKAQAADwAAAAAAAAABACAAAAAiAAAAZHJzL2Rvd25yZXYueG1sUEsBAhQA&#10;FAAAAAgAh07iQA0olR9gAgAA0AQAAA4AAAAAAAAAAQAgAAAAKwEAAGRycy9lMm9Eb2MueG1sUEsF&#10;BgAAAAAGAAYAWQEAAP0FAAAAAA==&#10;">
              <v:fill on="t" focussize="0,0"/>
              <v:stroke on="f" weight="1pt" miterlimit="8" joinstyle="miter"/>
              <v:imagedata o:title=""/>
              <o:lock v:ext="edit" aspectratio="f"/>
            </v:rect>
          </w:pict>
        </mc:Fallback>
      </mc:AlternateContent>
    </w:r>
    <w:r>
      <w:rPr>
        <w:rFonts w:ascii="Segoe UI Semibold" w:hAnsi="Segoe UI Semibold"/>
      </w:rPr>
      <w:drawing>
        <wp:anchor distT="0" distB="0" distL="114300" distR="114300" simplePos="0" relativeHeight="251660288" behindDoc="0" locked="0" layoutInCell="1" allowOverlap="1">
          <wp:simplePos x="0" y="0"/>
          <wp:positionH relativeFrom="margin">
            <wp:posOffset>3498850</wp:posOffset>
          </wp:positionH>
          <wp:positionV relativeFrom="margin">
            <wp:posOffset>-666115</wp:posOffset>
          </wp:positionV>
          <wp:extent cx="3174365" cy="4534535"/>
          <wp:effectExtent l="0" t="0" r="6985" b="0"/>
          <wp:wrapSquare wrapText="bothSides"/>
          <wp:docPr id="129194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175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74365" cy="453453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F0D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41672"/>
    <w:multiLevelType w:val="multilevel"/>
    <w:tmpl w:val="18E416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79B6CCD"/>
    <w:multiLevelType w:val="multilevel"/>
    <w:tmpl w:val="379B6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xNjM3NjKyMDOysDBU0lEKTi0uzszPAykwqgUAzuBaiSwAAAA="/>
  </w:docVars>
  <w:rsids>
    <w:rsidRoot w:val="003A4E2B"/>
    <w:rsid w:val="000063B5"/>
    <w:rsid w:val="0001066F"/>
    <w:rsid w:val="00011976"/>
    <w:rsid w:val="00024A2D"/>
    <w:rsid w:val="000515A2"/>
    <w:rsid w:val="00055555"/>
    <w:rsid w:val="00065BCF"/>
    <w:rsid w:val="00071E55"/>
    <w:rsid w:val="00073222"/>
    <w:rsid w:val="000844B8"/>
    <w:rsid w:val="00085855"/>
    <w:rsid w:val="00091DC1"/>
    <w:rsid w:val="000928C2"/>
    <w:rsid w:val="0009333A"/>
    <w:rsid w:val="000A1F5E"/>
    <w:rsid w:val="000A3998"/>
    <w:rsid w:val="000B0B20"/>
    <w:rsid w:val="000D0A17"/>
    <w:rsid w:val="000E3F06"/>
    <w:rsid w:val="00102C4F"/>
    <w:rsid w:val="00106F98"/>
    <w:rsid w:val="00123024"/>
    <w:rsid w:val="00125A19"/>
    <w:rsid w:val="00126E76"/>
    <w:rsid w:val="00134F41"/>
    <w:rsid w:val="00136AE3"/>
    <w:rsid w:val="001459F6"/>
    <w:rsid w:val="00176CD6"/>
    <w:rsid w:val="00185888"/>
    <w:rsid w:val="00195722"/>
    <w:rsid w:val="001A3588"/>
    <w:rsid w:val="001D3C94"/>
    <w:rsid w:val="001D613A"/>
    <w:rsid w:val="001E57DB"/>
    <w:rsid w:val="001F54F2"/>
    <w:rsid w:val="00206834"/>
    <w:rsid w:val="002212C5"/>
    <w:rsid w:val="002216FD"/>
    <w:rsid w:val="00236A35"/>
    <w:rsid w:val="00237E28"/>
    <w:rsid w:val="00263410"/>
    <w:rsid w:val="00280C0F"/>
    <w:rsid w:val="00283D6C"/>
    <w:rsid w:val="00293C03"/>
    <w:rsid w:val="002A1BCF"/>
    <w:rsid w:val="002B0C22"/>
    <w:rsid w:val="002B122A"/>
    <w:rsid w:val="002E4059"/>
    <w:rsid w:val="002E53C3"/>
    <w:rsid w:val="002F3C20"/>
    <w:rsid w:val="00306CBD"/>
    <w:rsid w:val="00316907"/>
    <w:rsid w:val="00320239"/>
    <w:rsid w:val="003460F6"/>
    <w:rsid w:val="00351676"/>
    <w:rsid w:val="0035593A"/>
    <w:rsid w:val="00366B28"/>
    <w:rsid w:val="003936BB"/>
    <w:rsid w:val="003A0349"/>
    <w:rsid w:val="003A4E2B"/>
    <w:rsid w:val="003B0D7C"/>
    <w:rsid w:val="003B1231"/>
    <w:rsid w:val="003B15DC"/>
    <w:rsid w:val="003B2500"/>
    <w:rsid w:val="003D1B3D"/>
    <w:rsid w:val="003E631A"/>
    <w:rsid w:val="00416DAA"/>
    <w:rsid w:val="0042180C"/>
    <w:rsid w:val="0043204F"/>
    <w:rsid w:val="00434AD6"/>
    <w:rsid w:val="004506BA"/>
    <w:rsid w:val="004665BD"/>
    <w:rsid w:val="00475A14"/>
    <w:rsid w:val="00482420"/>
    <w:rsid w:val="004A230E"/>
    <w:rsid w:val="004A40B2"/>
    <w:rsid w:val="004A623B"/>
    <w:rsid w:val="004C17CD"/>
    <w:rsid w:val="004C7B91"/>
    <w:rsid w:val="004E0D95"/>
    <w:rsid w:val="004E5141"/>
    <w:rsid w:val="004E6C49"/>
    <w:rsid w:val="004F28B3"/>
    <w:rsid w:val="00505F2E"/>
    <w:rsid w:val="00515515"/>
    <w:rsid w:val="0053378D"/>
    <w:rsid w:val="005432CE"/>
    <w:rsid w:val="0055115A"/>
    <w:rsid w:val="00554938"/>
    <w:rsid w:val="00565937"/>
    <w:rsid w:val="00590594"/>
    <w:rsid w:val="005932E8"/>
    <w:rsid w:val="005A22F5"/>
    <w:rsid w:val="005B43F4"/>
    <w:rsid w:val="005B69BE"/>
    <w:rsid w:val="005D35E2"/>
    <w:rsid w:val="005F1021"/>
    <w:rsid w:val="005F4032"/>
    <w:rsid w:val="005F49ED"/>
    <w:rsid w:val="00607008"/>
    <w:rsid w:val="006176CB"/>
    <w:rsid w:val="00623805"/>
    <w:rsid w:val="00626F40"/>
    <w:rsid w:val="00631692"/>
    <w:rsid w:val="00636C20"/>
    <w:rsid w:val="00682B90"/>
    <w:rsid w:val="006A46AD"/>
    <w:rsid w:val="006C25D2"/>
    <w:rsid w:val="006D4C83"/>
    <w:rsid w:val="006D61B9"/>
    <w:rsid w:val="00721E31"/>
    <w:rsid w:val="00745DB3"/>
    <w:rsid w:val="007540A3"/>
    <w:rsid w:val="0075459E"/>
    <w:rsid w:val="00760DE4"/>
    <w:rsid w:val="00764827"/>
    <w:rsid w:val="00783251"/>
    <w:rsid w:val="00786E7E"/>
    <w:rsid w:val="00795844"/>
    <w:rsid w:val="007B1136"/>
    <w:rsid w:val="007C1ED6"/>
    <w:rsid w:val="007C33B1"/>
    <w:rsid w:val="007D3B76"/>
    <w:rsid w:val="007E2BE6"/>
    <w:rsid w:val="00817AEF"/>
    <w:rsid w:val="008306A7"/>
    <w:rsid w:val="00830D44"/>
    <w:rsid w:val="0086356B"/>
    <w:rsid w:val="00872879"/>
    <w:rsid w:val="0089027A"/>
    <w:rsid w:val="008A0051"/>
    <w:rsid w:val="008B19C0"/>
    <w:rsid w:val="008C1548"/>
    <w:rsid w:val="008C3C5D"/>
    <w:rsid w:val="008C4E67"/>
    <w:rsid w:val="008E2ED3"/>
    <w:rsid w:val="008E3621"/>
    <w:rsid w:val="008F770C"/>
    <w:rsid w:val="00903D8A"/>
    <w:rsid w:val="00911C98"/>
    <w:rsid w:val="00951EF3"/>
    <w:rsid w:val="009833E7"/>
    <w:rsid w:val="00991AD9"/>
    <w:rsid w:val="009D6C67"/>
    <w:rsid w:val="00A10483"/>
    <w:rsid w:val="00A16CA8"/>
    <w:rsid w:val="00A23863"/>
    <w:rsid w:val="00A41D10"/>
    <w:rsid w:val="00A87744"/>
    <w:rsid w:val="00AA50AE"/>
    <w:rsid w:val="00AD218C"/>
    <w:rsid w:val="00AE139E"/>
    <w:rsid w:val="00AF1835"/>
    <w:rsid w:val="00B106D9"/>
    <w:rsid w:val="00B10CE3"/>
    <w:rsid w:val="00B41A75"/>
    <w:rsid w:val="00B652FE"/>
    <w:rsid w:val="00B677E0"/>
    <w:rsid w:val="00BB4F18"/>
    <w:rsid w:val="00BB53F7"/>
    <w:rsid w:val="00BC1AB3"/>
    <w:rsid w:val="00BC3768"/>
    <w:rsid w:val="00BD1468"/>
    <w:rsid w:val="00C03F95"/>
    <w:rsid w:val="00C07C0D"/>
    <w:rsid w:val="00C25DD4"/>
    <w:rsid w:val="00C327D9"/>
    <w:rsid w:val="00C46154"/>
    <w:rsid w:val="00C867BC"/>
    <w:rsid w:val="00C922F3"/>
    <w:rsid w:val="00CA1F47"/>
    <w:rsid w:val="00CB2A16"/>
    <w:rsid w:val="00CB38CE"/>
    <w:rsid w:val="00CD51C2"/>
    <w:rsid w:val="00CE2F95"/>
    <w:rsid w:val="00CE4566"/>
    <w:rsid w:val="00CF5BA7"/>
    <w:rsid w:val="00CF6098"/>
    <w:rsid w:val="00D2082A"/>
    <w:rsid w:val="00D506DC"/>
    <w:rsid w:val="00D54397"/>
    <w:rsid w:val="00D72E5C"/>
    <w:rsid w:val="00D73107"/>
    <w:rsid w:val="00D73822"/>
    <w:rsid w:val="00DB3381"/>
    <w:rsid w:val="00DB46CF"/>
    <w:rsid w:val="00DB4737"/>
    <w:rsid w:val="00DC661A"/>
    <w:rsid w:val="00DE25D7"/>
    <w:rsid w:val="00DE4951"/>
    <w:rsid w:val="00DF382E"/>
    <w:rsid w:val="00E127BF"/>
    <w:rsid w:val="00E14296"/>
    <w:rsid w:val="00E17DEB"/>
    <w:rsid w:val="00E17F74"/>
    <w:rsid w:val="00E225D5"/>
    <w:rsid w:val="00E25628"/>
    <w:rsid w:val="00E2690F"/>
    <w:rsid w:val="00E34760"/>
    <w:rsid w:val="00E4432D"/>
    <w:rsid w:val="00E455D4"/>
    <w:rsid w:val="00E6576F"/>
    <w:rsid w:val="00E82415"/>
    <w:rsid w:val="00E85722"/>
    <w:rsid w:val="00E91A23"/>
    <w:rsid w:val="00EC709A"/>
    <w:rsid w:val="00EF00A9"/>
    <w:rsid w:val="00EF3C43"/>
    <w:rsid w:val="00F11143"/>
    <w:rsid w:val="00F31DF9"/>
    <w:rsid w:val="00F43973"/>
    <w:rsid w:val="00F451BB"/>
    <w:rsid w:val="00F51B78"/>
    <w:rsid w:val="00F5657D"/>
    <w:rsid w:val="00F633F0"/>
    <w:rsid w:val="00F745CD"/>
    <w:rsid w:val="00F86049"/>
    <w:rsid w:val="00F865D3"/>
    <w:rsid w:val="00F93C9B"/>
    <w:rsid w:val="00F97696"/>
    <w:rsid w:val="00FB1DA6"/>
    <w:rsid w:val="00FC04B2"/>
    <w:rsid w:val="00FD1EB0"/>
    <w:rsid w:val="00FD27FC"/>
    <w:rsid w:val="00FE5715"/>
    <w:rsid w:val="00FE7B06"/>
    <w:rsid w:val="00FF53A2"/>
    <w:rsid w:val="00FF68DC"/>
    <w:rsid w:val="0C5F421F"/>
    <w:rsid w:val="5A3A58F2"/>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A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23"/>
    <w:unhideWhenUsed/>
    <w:uiPriority w:val="99"/>
    <w:pPr>
      <w:spacing w:line="240" w:lineRule="auto"/>
    </w:pPr>
    <w:rPr>
      <w:sz w:val="20"/>
      <w:szCs w:val="20"/>
    </w:rPr>
  </w:style>
  <w:style w:type="paragraph" w:styleId="7">
    <w:name w:val="annotation subject"/>
    <w:basedOn w:val="6"/>
    <w:next w:val="6"/>
    <w:link w:val="24"/>
    <w:semiHidden/>
    <w:unhideWhenUsed/>
    <w:uiPriority w:val="99"/>
    <w:rPr>
      <w:b/>
      <w:bCs/>
    </w:rPr>
  </w:style>
  <w:style w:type="paragraph" w:styleId="8">
    <w:name w:val="footer"/>
    <w:basedOn w:val="1"/>
    <w:link w:val="18"/>
    <w:unhideWhenUsed/>
    <w:uiPriority w:val="99"/>
    <w:pPr>
      <w:tabs>
        <w:tab w:val="center" w:pos="4513"/>
        <w:tab w:val="right" w:pos="9026"/>
      </w:tabs>
      <w:spacing w:after="0" w:line="240" w:lineRule="auto"/>
    </w:pPr>
  </w:style>
  <w:style w:type="paragraph" w:styleId="9">
    <w:name w:val="header"/>
    <w:basedOn w:val="1"/>
    <w:link w:val="17"/>
    <w:unhideWhenUsed/>
    <w:qFormat/>
    <w:uiPriority w:val="99"/>
    <w:pPr>
      <w:tabs>
        <w:tab w:val="center" w:pos="4513"/>
        <w:tab w:val="right" w:pos="9026"/>
      </w:tabs>
      <w:spacing w:after="0" w:line="240" w:lineRule="auto"/>
    </w:pPr>
  </w:style>
  <w:style w:type="character" w:styleId="10">
    <w:name w:val="Hyperlink"/>
    <w:basedOn w:val="2"/>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after="0" w:line="240" w:lineRule="auto"/>
    </w:pPr>
    <w:rPr>
      <w:rFonts w:ascii="Times New Roman" w:hAnsi="Times New Roman" w:eastAsia="Times New Roman"/>
      <w:sz w:val="24"/>
      <w:szCs w:val="24"/>
      <w:lang w:eastAsia="en-AU"/>
    </w:rPr>
  </w:style>
  <w:style w:type="character" w:styleId="12">
    <w:name w:val="Strong"/>
    <w:qFormat/>
    <w:uiPriority w:val="22"/>
    <w:rPr>
      <w:b/>
      <w:bCs/>
    </w:rPr>
  </w:style>
  <w:style w:type="table" w:styleId="13">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paragraph" w:customStyle="1" w:styleId="15">
    <w:name w:val="tableheading"/>
    <w:basedOn w:val="1"/>
    <w:qFormat/>
    <w:uiPriority w:val="0"/>
    <w:pPr>
      <w:spacing w:after="0" w:line="240" w:lineRule="auto"/>
    </w:pPr>
    <w:rPr>
      <w:rFonts w:ascii="Arial" w:hAnsi="Arial" w:eastAsia="Times New Roman" w:cs="Arial"/>
      <w:b/>
      <w:bCs/>
      <w:color w:val="000000"/>
      <w:sz w:val="24"/>
      <w:szCs w:val="24"/>
      <w:lang w:eastAsia="en-AU"/>
    </w:rPr>
  </w:style>
  <w:style w:type="character" w:customStyle="1" w:styleId="16">
    <w:name w:val="Balloon Text Char"/>
    <w:link w:val="4"/>
    <w:semiHidden/>
    <w:uiPriority w:val="99"/>
    <w:rPr>
      <w:rFonts w:ascii="Tahoma" w:hAnsi="Tahoma" w:cs="Tahoma"/>
      <w:sz w:val="16"/>
      <w:szCs w:val="16"/>
    </w:rPr>
  </w:style>
  <w:style w:type="character" w:customStyle="1" w:styleId="17">
    <w:name w:val="Header Char"/>
    <w:basedOn w:val="2"/>
    <w:link w:val="9"/>
    <w:qFormat/>
    <w:uiPriority w:val="99"/>
  </w:style>
  <w:style w:type="character" w:customStyle="1" w:styleId="18">
    <w:name w:val="Footer Char"/>
    <w:basedOn w:val="2"/>
    <w:link w:val="8"/>
    <w:uiPriority w:val="99"/>
  </w:style>
  <w:style w:type="table" w:customStyle="1" w:styleId="19">
    <w:name w:val="Table Grid1"/>
    <w:basedOn w:val="3"/>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Mention"/>
    <w:basedOn w:val="2"/>
    <w:semiHidden/>
    <w:unhideWhenUsed/>
    <w:qFormat/>
    <w:uiPriority w:val="99"/>
    <w:rPr>
      <w:color w:val="2B579A"/>
      <w:shd w:val="clear" w:color="auto" w:fill="E6E6E6"/>
    </w:rPr>
  </w:style>
  <w:style w:type="table" w:customStyle="1" w:styleId="21">
    <w:name w:val="Plain Table 4"/>
    <w:basedOn w:val="3"/>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2">
    <w:name w:val="Revision"/>
    <w:hidden/>
    <w:semiHidden/>
    <w:uiPriority w:val="99"/>
    <w:rPr>
      <w:rFonts w:ascii="Calibri" w:hAnsi="Calibri" w:eastAsia="Calibri" w:cs="Times New Roman"/>
      <w:sz w:val="22"/>
      <w:szCs w:val="22"/>
      <w:lang w:val="en-AU" w:eastAsia="en-US" w:bidi="ar-SA"/>
    </w:rPr>
  </w:style>
  <w:style w:type="character" w:customStyle="1" w:styleId="23">
    <w:name w:val="Comment Text Char"/>
    <w:basedOn w:val="2"/>
    <w:link w:val="6"/>
    <w:qFormat/>
    <w:uiPriority w:val="99"/>
    <w:rPr>
      <w:lang w:eastAsia="en-US"/>
    </w:rPr>
  </w:style>
  <w:style w:type="character" w:customStyle="1" w:styleId="24">
    <w:name w:val="Comment Subject Char"/>
    <w:basedOn w:val="23"/>
    <w:link w:val="7"/>
    <w:semiHidden/>
    <w:uiPriority w:val="99"/>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4" ma:contentTypeDescription="Create a new document." ma:contentTypeScope="" ma:versionID="764946947498807daeb6fc9ac9ea9c9a">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da9344818947fb6946abe4959fa89112"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Resourc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enumeration value="Not Applicable"/>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VPP &amp; Client Emails"/>
                        <xsd:enumeration value="Client Letter (Merge)"/>
                        <xsd:enumeration value="System"/>
                        <xsd:enumeration value="Workpapers &amp; Calculators"/>
                        <xsd:enumeration value="Client Resources"/>
                        <xsd:enumeration value="Practice Tools"/>
                        <xsd:enumeration value="Other"/>
                        <xsd:enumeration value="Internal Only"/>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sourceCategory" ma:index="31" nillable="true" ma:displayName="Resource Category" ma:format="Dropdown" ma:internalName="ResourceCategory">
      <xsd:simpleType>
        <xsd:union memberTypes="dms:Text">
          <xsd:simpleType>
            <xsd:restriction base="dms:Choice">
              <xsd:enumeration value="Pricing &amp; Strategy"/>
              <xsd:enumeration value="Advisory"/>
              <xsd:enumeration value="Compliance"/>
              <xsd:enumeration value="Year End"/>
              <xsd:enumeration value="Client Management"/>
              <xsd:enumeration value="Practice Managemen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ResourceCategory xmlns="93ef16c4-17ec-4a5b-8eb4-f9d85ed6eb57"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3D50E-250A-4985-AA73-50AC8F0AADB7}">
  <ds:schemaRefs/>
</ds:datastoreItem>
</file>

<file path=customXml/itemProps3.xml><?xml version="1.0" encoding="utf-8"?>
<ds:datastoreItem xmlns:ds="http://schemas.openxmlformats.org/officeDocument/2006/customXml" ds:itemID="{2C73C517-8DF0-40EF-ABDF-3F98B8017B47}">
  <ds:schemaRefs/>
</ds:datastoreItem>
</file>

<file path=customXml/itemProps4.xml><?xml version="1.0" encoding="utf-8"?>
<ds:datastoreItem xmlns:ds="http://schemas.openxmlformats.org/officeDocument/2006/customXml" ds:itemID="{0B1F5B4D-DCDE-42AE-AFCA-A58A753F567F}">
  <ds:schemaRefs/>
</ds:datastoreItem>
</file>

<file path=customXml/itemProps5.xml><?xml version="1.0" encoding="utf-8"?>
<ds:datastoreItem xmlns:ds="http://schemas.openxmlformats.org/officeDocument/2006/customXml" ds:itemID="{1D06AA89-9D4B-49A2-93E8-CB388B60CC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486</Words>
  <Characters>2448</Characters>
  <Lines>20</Lines>
  <Paragraphs>5</Paragraphs>
  <TotalTime>116</TotalTime>
  <ScaleCrop>false</ScaleCrop>
  <LinksUpToDate>false</LinksUpToDate>
  <CharactersWithSpaces>2910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2024-02-18T22:42:00Z</dcterms:created>
  <dc:creator>ChangeGPS</dc:creator>
  <cp:lastModifiedBy>Muhammad Yaseen</cp:lastModifiedBy>
  <cp:lastPrinted>2012-03-22T04:43:00Z</cp:lastPrinted>
  <dcterms:modified xsi:type="dcterms:W3CDTF">2026-06-10T09:45:51Z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35BCF4C1EB4B49619BC5D7D8F3CE2829_12</vt:lpwstr>
  </property>
</Properties>
</file>